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1C" w:rsidRDefault="0013051C" w:rsidP="0013051C">
      <w:pPr>
        <w:rPr>
          <w:rFonts w:ascii="Arial" w:eastAsia="Times New Roman" w:hAnsi="Arial" w:cs="Arial"/>
          <w:color w:val="000000"/>
          <w:sz w:val="20"/>
          <w:szCs w:val="20"/>
        </w:rPr>
      </w:pPr>
      <w:bookmarkStart w:id="0" w:name="_GoBack"/>
      <w:bookmarkEnd w:id="0"/>
      <w:r w:rsidRPr="0013051C">
        <w:rPr>
          <w:rFonts w:ascii="Arial" w:eastAsia="Times New Roman" w:hAnsi="Arial" w:cs="Arial"/>
          <w:b/>
          <w:color w:val="000000"/>
          <w:sz w:val="20"/>
          <w:szCs w:val="20"/>
        </w:rPr>
        <w:t>Jautājums:</w:t>
      </w:r>
      <w:r>
        <w:rPr>
          <w:rFonts w:ascii="Arial" w:eastAsia="Times New Roman" w:hAnsi="Arial" w:cs="Arial"/>
          <w:color w:val="000000"/>
          <w:sz w:val="20"/>
          <w:szCs w:val="20"/>
        </w:rPr>
        <w:t>.</w:t>
      </w:r>
    </w:p>
    <w:p w:rsidR="0013051C" w:rsidRDefault="0013051C" w:rsidP="0013051C">
      <w:pPr>
        <w:rPr>
          <w:rFonts w:ascii="Arial" w:eastAsia="Times New Roman" w:hAnsi="Arial" w:cs="Arial"/>
          <w:color w:val="000000"/>
          <w:sz w:val="20"/>
          <w:szCs w:val="20"/>
        </w:rPr>
      </w:pPr>
      <w:r>
        <w:rPr>
          <w:rFonts w:ascii="Arial" w:eastAsia="Times New Roman" w:hAnsi="Arial" w:cs="Arial"/>
          <w:color w:val="000000"/>
          <w:sz w:val="20"/>
          <w:szCs w:val="20"/>
        </w:rPr>
        <w:t>Pozīcijas.</w:t>
      </w:r>
    </w:p>
    <w:tbl>
      <w:tblPr>
        <w:tblW w:w="10275" w:type="dxa"/>
        <w:tblCellMar>
          <w:left w:w="0" w:type="dxa"/>
          <w:right w:w="0" w:type="dxa"/>
        </w:tblCellMar>
        <w:tblLook w:val="04A0" w:firstRow="1" w:lastRow="0" w:firstColumn="1" w:lastColumn="0" w:noHBand="0" w:noVBand="1"/>
      </w:tblPr>
      <w:tblGrid>
        <w:gridCol w:w="947"/>
        <w:gridCol w:w="1324"/>
        <w:gridCol w:w="5657"/>
        <w:gridCol w:w="1023"/>
        <w:gridCol w:w="1324"/>
      </w:tblGrid>
      <w:tr w:rsidR="0013051C" w:rsidTr="0013051C">
        <w:trPr>
          <w:trHeight w:val="3450"/>
        </w:trPr>
        <w:tc>
          <w:tcPr>
            <w:tcW w:w="9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 </w:t>
            </w:r>
          </w:p>
        </w:tc>
        <w:tc>
          <w:tcPr>
            <w:tcW w:w="13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Līg.c.</w:t>
            </w:r>
          </w:p>
        </w:tc>
        <w:tc>
          <w:tcPr>
            <w:tcW w:w="56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rPr>
                <w:rFonts w:eastAsia="Times New Roman"/>
                <w:color w:val="000000"/>
              </w:rPr>
            </w:pPr>
            <w:r>
              <w:rPr>
                <w:rStyle w:val="Emphasis"/>
                <w:rFonts w:eastAsia="Times New Roman"/>
                <w:b/>
                <w:bCs/>
                <w:color w:val="000000"/>
                <w:sz w:val="20"/>
                <w:szCs w:val="20"/>
              </w:rPr>
              <w:t>Pielietot betona virsmu atjaunošanas sistēmu, piemēram Ceresit PCC III vai analogu. Pēc atjaunošanas gāzbetona panelim jābūt ar tā sākotnējo ģeometriju un pārklājumu aizsardzībai pret vides izraisītu eroziju.</w:t>
            </w:r>
            <w:r>
              <w:rPr>
                <w:rFonts w:eastAsia="Times New Roman"/>
                <w:b/>
                <w:bCs/>
                <w:i/>
                <w:iCs/>
                <w:color w:val="000000"/>
                <w:sz w:val="20"/>
                <w:szCs w:val="20"/>
              </w:rPr>
              <w:br/>
            </w:r>
            <w:r>
              <w:rPr>
                <w:rStyle w:val="Emphasis"/>
                <w:rFonts w:eastAsia="Times New Roman"/>
                <w:b/>
                <w:bCs/>
                <w:color w:val="000000"/>
                <w:sz w:val="20"/>
                <w:szCs w:val="20"/>
              </w:rPr>
              <w:t xml:space="preserve">Virsmas bojājumi: </w:t>
            </w:r>
            <w:r>
              <w:rPr>
                <w:rFonts w:eastAsia="Times New Roman"/>
                <w:b/>
                <w:bCs/>
                <w:i/>
                <w:iCs/>
                <w:color w:val="000000"/>
                <w:sz w:val="20"/>
                <w:szCs w:val="20"/>
              </w:rPr>
              <w:br/>
            </w:r>
            <w:r>
              <w:rPr>
                <w:rStyle w:val="Emphasis"/>
                <w:rFonts w:eastAsia="Times New Roman"/>
                <w:b/>
                <w:bCs/>
                <w:color w:val="000000"/>
                <w:sz w:val="20"/>
                <w:szCs w:val="20"/>
              </w:rPr>
              <w:t>~70% līdz 5mm biezumam</w:t>
            </w:r>
            <w:r>
              <w:rPr>
                <w:rFonts w:eastAsia="Times New Roman"/>
                <w:b/>
                <w:bCs/>
                <w:i/>
                <w:iCs/>
                <w:color w:val="000000"/>
                <w:sz w:val="20"/>
                <w:szCs w:val="20"/>
              </w:rPr>
              <w:br/>
            </w:r>
            <w:r>
              <w:rPr>
                <w:rStyle w:val="Emphasis"/>
                <w:rFonts w:eastAsia="Times New Roman"/>
                <w:b/>
                <w:bCs/>
                <w:color w:val="000000"/>
                <w:sz w:val="20"/>
                <w:szCs w:val="20"/>
              </w:rPr>
              <w:t>~30% līdz 30mm biezumam</w:t>
            </w:r>
            <w:r>
              <w:rPr>
                <w:rFonts w:eastAsia="Times New Roman"/>
                <w:b/>
                <w:bCs/>
                <w:i/>
                <w:iCs/>
                <w:color w:val="000000"/>
                <w:sz w:val="20"/>
                <w:szCs w:val="20"/>
              </w:rPr>
              <w:br/>
            </w:r>
            <w:r>
              <w:rPr>
                <w:rStyle w:val="Emphasis"/>
                <w:rFonts w:eastAsia="Times New Roman"/>
                <w:b/>
                <w:bCs/>
                <w:color w:val="000000"/>
                <w:sz w:val="20"/>
                <w:szCs w:val="20"/>
              </w:rPr>
              <w:t>Virsmas attīrīt un apstrādāt ar pretpelējuma sastāvu.</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 </w:t>
            </w:r>
          </w:p>
        </w:tc>
        <w:tc>
          <w:tcPr>
            <w:tcW w:w="13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 </w:t>
            </w:r>
          </w:p>
        </w:tc>
      </w:tr>
      <w:tr w:rsidR="0013051C" w:rsidTr="0013051C">
        <w:trPr>
          <w:trHeight w:val="64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32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Līg.c.</w:t>
            </w:r>
          </w:p>
        </w:tc>
        <w:tc>
          <w:tcPr>
            <w:tcW w:w="56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rPr>
                <w:rFonts w:eastAsia="Times New Roman"/>
                <w:color w:val="000000"/>
              </w:rPr>
            </w:pPr>
            <w:r>
              <w:rPr>
                <w:rFonts w:eastAsia="Times New Roman"/>
                <w:color w:val="000000"/>
                <w:sz w:val="20"/>
                <w:szCs w:val="20"/>
              </w:rPr>
              <w:t>Virsmas attīrīšana, apstrādāšana ar pretpelējuma sastāvu</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m2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598,50</w:t>
            </w:r>
          </w:p>
        </w:tc>
      </w:tr>
      <w:tr w:rsidR="0013051C" w:rsidTr="0013051C">
        <w:trPr>
          <w:trHeight w:val="34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33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Līg.c.</w:t>
            </w:r>
          </w:p>
        </w:tc>
        <w:tc>
          <w:tcPr>
            <w:tcW w:w="56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rPr>
                <w:rFonts w:eastAsia="Times New Roman"/>
                <w:color w:val="000000"/>
              </w:rPr>
            </w:pPr>
            <w:r>
              <w:rPr>
                <w:rFonts w:eastAsia="Times New Roman"/>
                <w:color w:val="000000"/>
                <w:sz w:val="20"/>
                <w:szCs w:val="20"/>
              </w:rPr>
              <w:t>Gāzbetona paneļu atjaunošana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m2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13051C" w:rsidRDefault="0013051C">
            <w:pPr>
              <w:jc w:val="center"/>
              <w:rPr>
                <w:rFonts w:eastAsia="Times New Roman"/>
                <w:color w:val="000000"/>
              </w:rPr>
            </w:pPr>
            <w:r>
              <w:rPr>
                <w:rFonts w:eastAsia="Times New Roman"/>
                <w:color w:val="000000"/>
                <w:sz w:val="20"/>
                <w:szCs w:val="20"/>
              </w:rPr>
              <w:t>598,50</w:t>
            </w:r>
          </w:p>
        </w:tc>
      </w:tr>
    </w:tbl>
    <w:p w:rsidR="0013051C" w:rsidRDefault="0013051C" w:rsidP="0013051C">
      <w:pPr>
        <w:rPr>
          <w:rFonts w:ascii="Tahoma" w:eastAsia="Times New Roman" w:hAnsi="Tahoma" w:cs="Tahoma"/>
          <w:color w:val="000000"/>
          <w:sz w:val="20"/>
          <w:szCs w:val="20"/>
        </w:rPr>
      </w:pPr>
      <w:r>
        <w:rPr>
          <w:rFonts w:ascii="Tahoma" w:eastAsia="Times New Roman" w:hAnsi="Tahoma" w:cs="Tahoma"/>
          <w:color w:val="000000"/>
          <w:sz w:val="20"/>
          <w:szCs w:val="20"/>
        </w:rPr>
        <w:t> </w:t>
      </w:r>
    </w:p>
    <w:p w:rsidR="0013051C" w:rsidRDefault="0013051C" w:rsidP="0013051C">
      <w:pPr>
        <w:rPr>
          <w:rFonts w:ascii="Tahoma" w:eastAsia="Times New Roman" w:hAnsi="Tahoma" w:cs="Tahoma"/>
          <w:color w:val="000000"/>
          <w:sz w:val="20"/>
          <w:szCs w:val="20"/>
        </w:rPr>
      </w:pPr>
      <w:r>
        <w:rPr>
          <w:rFonts w:ascii="Arial" w:eastAsia="Times New Roman" w:hAnsi="Arial" w:cs="Arial"/>
          <w:color w:val="000000"/>
          <w:sz w:val="20"/>
          <w:szCs w:val="20"/>
        </w:rPr>
        <w:t>Gāzbetona sienu labošanai ir pielietojama cita tehnoloģija. Ceresit PCC III ir pielitojama betona konstrukcijām.</w:t>
      </w:r>
    </w:p>
    <w:p w:rsidR="0013051C" w:rsidRDefault="0013051C" w:rsidP="0013051C">
      <w:pPr>
        <w:rPr>
          <w:rFonts w:ascii="Arial" w:eastAsia="Times New Roman" w:hAnsi="Arial" w:cs="Arial"/>
          <w:color w:val="000000"/>
          <w:sz w:val="20"/>
          <w:szCs w:val="20"/>
        </w:rPr>
      </w:pPr>
      <w:r>
        <w:rPr>
          <w:rFonts w:ascii="Arial" w:eastAsia="Times New Roman" w:hAnsi="Arial" w:cs="Arial"/>
          <w:color w:val="000000"/>
          <w:sz w:val="20"/>
          <w:szCs w:val="20"/>
        </w:rPr>
        <w:t xml:space="preserve">Lūdzam koriģēt darba apjomus. </w:t>
      </w:r>
    </w:p>
    <w:p w:rsidR="0013051C" w:rsidRDefault="0013051C" w:rsidP="0013051C">
      <w:r w:rsidRPr="0013051C">
        <w:rPr>
          <w:rFonts w:ascii="Tahoma" w:eastAsia="Times New Roman" w:hAnsi="Tahoma" w:cs="Tahoma"/>
          <w:b/>
          <w:color w:val="000000"/>
          <w:spacing w:val="15"/>
          <w:sz w:val="29"/>
          <w:szCs w:val="29"/>
        </w:rPr>
        <w:t>bauroc remonta java</w:t>
      </w:r>
      <w:r>
        <w:rPr>
          <w:rFonts w:ascii="Tahoma" w:eastAsia="Times New Roman" w:hAnsi="Tahoma" w:cs="Tahoma"/>
          <w:b/>
          <w:color w:val="000000"/>
          <w:spacing w:val="15"/>
          <w:sz w:val="29"/>
          <w:szCs w:val="29"/>
        </w:rPr>
        <w:t xml:space="preserve">- </w:t>
      </w:r>
      <w:r>
        <w:t>bauroc remonta javu lieto bauroc bloku mūros iespējamo iespiedumu un nodrupumu labošanai un aizpildīšanai. Remontsastāvs lietojams elektroinstalācijas un ūdensvadu rievu aizpildīšanai. Maisījuma galvenā minerāla sastāvdaļa ir smalki samaltas bauroc bloku drumslas. Tāpēc nodrupumu labošana ar minēto maisījumu nepasliktina mūra siltumizolācijas īpašības. Pēc sacietēšanas remonta java iegūst līdzīgu virsmas struktūru, kura ir viegli slīpējama un apstrādājama.</w:t>
      </w:r>
    </w:p>
    <w:p w:rsidR="0013051C" w:rsidRDefault="0013051C" w:rsidP="0013051C"/>
    <w:p w:rsidR="0013051C" w:rsidRPr="0013051C" w:rsidRDefault="0013051C" w:rsidP="0013051C">
      <w:pPr>
        <w:rPr>
          <w:b/>
        </w:rPr>
      </w:pPr>
      <w:r w:rsidRPr="0013051C">
        <w:rPr>
          <w:b/>
        </w:rPr>
        <w:t>Atbilde:</w:t>
      </w:r>
    </w:p>
    <w:p w:rsidR="0013051C" w:rsidRPr="0013051C" w:rsidRDefault="0013051C" w:rsidP="0013051C">
      <w:pPr>
        <w:rPr>
          <w:rFonts w:eastAsia="Times New Roman"/>
        </w:rPr>
      </w:pPr>
    </w:p>
    <w:p w:rsidR="0013051C" w:rsidRPr="0013051C" w:rsidRDefault="0013051C" w:rsidP="0013051C">
      <w:pPr>
        <w:rPr>
          <w:rFonts w:eastAsia="Times New Roman"/>
        </w:rPr>
      </w:pPr>
      <w:r w:rsidRPr="0013051C">
        <w:rPr>
          <w:rFonts w:eastAsia="Times New Roman"/>
        </w:rPr>
        <w:t>Būvdarbu apjomu pozīcijās Nr. 32 un Nr. 33 izcenojama stiegrotu gāzbetona paneļu (esošo fasādes paneļu) atjaunošanas darbi. Šajā pozīcijā nav runa par bloku mūri.</w:t>
      </w:r>
    </w:p>
    <w:p w:rsidR="0013051C" w:rsidRPr="0013051C" w:rsidRDefault="0013051C" w:rsidP="0013051C">
      <w:pPr>
        <w:rPr>
          <w:rFonts w:eastAsia="Times New Roman"/>
        </w:rPr>
      </w:pPr>
      <w:r w:rsidRPr="0013051C">
        <w:rPr>
          <w:rFonts w:eastAsia="Times New Roman"/>
        </w:rPr>
        <w:t>Gāzbetona bloki un stiegroti gāzbetona ārsienu paneļi ir divi pilnībā atšķirīgi izstrādājumi, konstrukcijas.</w:t>
      </w:r>
    </w:p>
    <w:p w:rsidR="0013051C" w:rsidRPr="0013051C" w:rsidRDefault="0013051C" w:rsidP="0013051C">
      <w:pPr>
        <w:rPr>
          <w:rFonts w:eastAsia="Times New Roman"/>
        </w:rPr>
      </w:pPr>
    </w:p>
    <w:p w:rsidR="0013051C" w:rsidRPr="0013051C" w:rsidRDefault="0013051C" w:rsidP="0013051C">
      <w:pPr>
        <w:rPr>
          <w:rFonts w:eastAsia="Times New Roman"/>
        </w:rPr>
      </w:pPr>
      <w:r w:rsidRPr="0013051C">
        <w:rPr>
          <w:rFonts w:eastAsia="Times New Roman"/>
        </w:rPr>
        <w:t>Ceresti PCC III sistēma (materiālu kopums un tehnoloģija) lietojama arī stiegrotu gāzbetona paneļu atjaunošanai.</w:t>
      </w:r>
    </w:p>
    <w:p w:rsidR="0013051C" w:rsidRPr="0013051C" w:rsidRDefault="0013051C" w:rsidP="0013051C">
      <w:pPr>
        <w:rPr>
          <w:rFonts w:eastAsia="Times New Roman"/>
        </w:rPr>
      </w:pPr>
      <w:r w:rsidRPr="0013051C">
        <w:rPr>
          <w:rFonts w:eastAsia="Times New Roman"/>
        </w:rPr>
        <w:t>Pozīcijā saglabājama Ceresit PCC III vai analoga atjaunošanas sistēma.</w:t>
      </w:r>
    </w:p>
    <w:p w:rsidR="0013051C" w:rsidRPr="0013051C" w:rsidRDefault="0013051C" w:rsidP="0013051C">
      <w:pPr>
        <w:rPr>
          <w:rFonts w:ascii="Tahoma" w:eastAsia="Times New Roman" w:hAnsi="Tahoma" w:cs="Tahoma"/>
          <w:color w:val="000000"/>
          <w:sz w:val="20"/>
          <w:szCs w:val="20"/>
        </w:rPr>
      </w:pPr>
    </w:p>
    <w:p w:rsidR="009750FC" w:rsidRDefault="009750FC"/>
    <w:sectPr w:rsidR="009750FC" w:rsidSect="009750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1C"/>
    <w:rsid w:val="0013051C"/>
    <w:rsid w:val="00336220"/>
    <w:rsid w:val="009750FC"/>
    <w:rsid w:val="00B7045D"/>
    <w:rsid w:val="00D60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C1CD2-3B7C-4F8F-B07C-51E7D8E9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51C"/>
    <w:pPr>
      <w:spacing w:after="0" w:line="240" w:lineRule="auto"/>
    </w:pPr>
    <w:rPr>
      <w:rFonts w:ascii="Times New Roman" w:hAnsi="Times New Roman" w:cs="Times New Roman"/>
      <w:sz w:val="24"/>
      <w:szCs w:val="24"/>
      <w:lang w:eastAsia="lv-LV"/>
    </w:rPr>
  </w:style>
  <w:style w:type="paragraph" w:styleId="Heading2">
    <w:name w:val="heading 2"/>
    <w:basedOn w:val="Normal"/>
    <w:link w:val="Heading2Char"/>
    <w:uiPriority w:val="9"/>
    <w:semiHidden/>
    <w:unhideWhenUsed/>
    <w:qFormat/>
    <w:rsid w:val="001305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051C"/>
    <w:rPr>
      <w:rFonts w:ascii="Times New Roman" w:hAnsi="Times New Roman" w:cs="Times New Roman"/>
      <w:b/>
      <w:bCs/>
      <w:sz w:val="36"/>
      <w:szCs w:val="36"/>
      <w:lang w:eastAsia="lv-LV"/>
    </w:rPr>
  </w:style>
  <w:style w:type="paragraph" w:styleId="NormalWeb">
    <w:name w:val="Normal (Web)"/>
    <w:basedOn w:val="Normal"/>
    <w:uiPriority w:val="99"/>
    <w:semiHidden/>
    <w:unhideWhenUsed/>
    <w:rsid w:val="0013051C"/>
    <w:pPr>
      <w:spacing w:before="100" w:beforeAutospacing="1" w:after="100" w:afterAutospacing="1"/>
    </w:pPr>
  </w:style>
  <w:style w:type="character" w:styleId="Emphasis">
    <w:name w:val="Emphasis"/>
    <w:basedOn w:val="DefaultParagraphFont"/>
    <w:uiPriority w:val="20"/>
    <w:qFormat/>
    <w:rsid w:val="00130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90116">
      <w:bodyDiv w:val="1"/>
      <w:marLeft w:val="0"/>
      <w:marRight w:val="0"/>
      <w:marTop w:val="0"/>
      <w:marBottom w:val="0"/>
      <w:divBdr>
        <w:top w:val="none" w:sz="0" w:space="0" w:color="auto"/>
        <w:left w:val="none" w:sz="0" w:space="0" w:color="auto"/>
        <w:bottom w:val="none" w:sz="0" w:space="0" w:color="auto"/>
        <w:right w:val="none" w:sz="0" w:space="0" w:color="auto"/>
      </w:divBdr>
      <w:divsChild>
        <w:div w:id="7755289">
          <w:marLeft w:val="0"/>
          <w:marRight w:val="0"/>
          <w:marTop w:val="0"/>
          <w:marBottom w:val="0"/>
          <w:divBdr>
            <w:top w:val="none" w:sz="0" w:space="0" w:color="auto"/>
            <w:left w:val="none" w:sz="0" w:space="0" w:color="auto"/>
            <w:bottom w:val="none" w:sz="0" w:space="0" w:color="auto"/>
            <w:right w:val="none" w:sz="0" w:space="0" w:color="auto"/>
          </w:divBdr>
        </w:div>
        <w:div w:id="534584676">
          <w:marLeft w:val="0"/>
          <w:marRight w:val="0"/>
          <w:marTop w:val="0"/>
          <w:marBottom w:val="0"/>
          <w:divBdr>
            <w:top w:val="none" w:sz="0" w:space="0" w:color="auto"/>
            <w:left w:val="none" w:sz="0" w:space="0" w:color="auto"/>
            <w:bottom w:val="none" w:sz="0" w:space="0" w:color="auto"/>
            <w:right w:val="none" w:sz="0" w:space="0" w:color="auto"/>
          </w:divBdr>
        </w:div>
        <w:div w:id="93283931">
          <w:marLeft w:val="0"/>
          <w:marRight w:val="0"/>
          <w:marTop w:val="0"/>
          <w:marBottom w:val="0"/>
          <w:divBdr>
            <w:top w:val="none" w:sz="0" w:space="0" w:color="auto"/>
            <w:left w:val="none" w:sz="0" w:space="0" w:color="auto"/>
            <w:bottom w:val="none" w:sz="0" w:space="0" w:color="auto"/>
            <w:right w:val="none" w:sz="0" w:space="0" w:color="auto"/>
          </w:divBdr>
        </w:div>
        <w:div w:id="1753550884">
          <w:marLeft w:val="0"/>
          <w:marRight w:val="0"/>
          <w:marTop w:val="0"/>
          <w:marBottom w:val="0"/>
          <w:divBdr>
            <w:top w:val="none" w:sz="0" w:space="0" w:color="auto"/>
            <w:left w:val="none" w:sz="0" w:space="0" w:color="auto"/>
            <w:bottom w:val="none" w:sz="0" w:space="0" w:color="auto"/>
            <w:right w:val="none" w:sz="0" w:space="0" w:color="auto"/>
          </w:divBdr>
        </w:div>
        <w:div w:id="941886171">
          <w:marLeft w:val="0"/>
          <w:marRight w:val="0"/>
          <w:marTop w:val="0"/>
          <w:marBottom w:val="0"/>
          <w:divBdr>
            <w:top w:val="none" w:sz="0" w:space="0" w:color="auto"/>
            <w:left w:val="none" w:sz="0" w:space="0" w:color="auto"/>
            <w:bottom w:val="none" w:sz="0" w:space="0" w:color="auto"/>
            <w:right w:val="none" w:sz="0" w:space="0" w:color="auto"/>
          </w:divBdr>
        </w:div>
        <w:div w:id="1857037989">
          <w:marLeft w:val="0"/>
          <w:marRight w:val="0"/>
          <w:marTop w:val="0"/>
          <w:marBottom w:val="0"/>
          <w:divBdr>
            <w:top w:val="none" w:sz="0" w:space="0" w:color="auto"/>
            <w:left w:val="none" w:sz="0" w:space="0" w:color="auto"/>
            <w:bottom w:val="none" w:sz="0" w:space="0" w:color="auto"/>
            <w:right w:val="none" w:sz="0" w:space="0" w:color="auto"/>
          </w:divBdr>
        </w:div>
      </w:divsChild>
    </w:div>
    <w:div w:id="17189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Zalitis</dc:creator>
  <cp:lastModifiedBy>Ilona_F</cp:lastModifiedBy>
  <cp:revision>2</cp:revision>
  <dcterms:created xsi:type="dcterms:W3CDTF">2017-11-21T08:47:00Z</dcterms:created>
  <dcterms:modified xsi:type="dcterms:W3CDTF">2017-11-21T08:47:00Z</dcterms:modified>
</cp:coreProperties>
</file>