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Tr="00D4568F">
        <w:tc>
          <w:tcPr>
            <w:tcW w:w="9351" w:type="dxa"/>
            <w:tcBorders>
              <w:bottom w:val="single" w:sz="4" w:space="0" w:color="auto"/>
            </w:tcBorders>
            <w:vAlign w:val="center"/>
          </w:tcPr>
          <w:p w:rsidR="008619DF" w:rsidRPr="008619DF" w:rsidRDefault="008619DF" w:rsidP="00D4568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SIA “Projektu r</w:t>
            </w:r>
            <w:r w:rsidR="00DF5D94">
              <w:rPr>
                <w:rFonts w:ascii="Arial" w:hAnsi="Arial" w:cs="Arial"/>
                <w:sz w:val="20"/>
                <w:szCs w:val="20"/>
              </w:rPr>
              <w:t>isinājumi, reģ. nr.4010383855, b</w:t>
            </w:r>
            <w:r>
              <w:rPr>
                <w:rFonts w:ascii="Arial" w:hAnsi="Arial" w:cs="Arial"/>
                <w:sz w:val="20"/>
                <w:szCs w:val="20"/>
              </w:rPr>
              <w:t>ūvkomersanta reģ. nr. 12246, Aspazijas bulvāris 32-1A, Rīga, LV-1050, tālr. 28324854, projektu.risinajumi@gmail.com</w:t>
            </w:r>
          </w:p>
        </w:tc>
      </w:tr>
      <w:tr w:rsidR="008619DF" w:rsidTr="00D4568F">
        <w:tc>
          <w:tcPr>
            <w:tcW w:w="9351" w:type="dxa"/>
            <w:tcBorders>
              <w:top w:val="single" w:sz="4" w:space="0" w:color="auto"/>
            </w:tcBorders>
            <w:vAlign w:val="center"/>
          </w:tcPr>
          <w:p w:rsidR="008619DF" w:rsidRPr="008619DF" w:rsidRDefault="008619DF" w:rsidP="00D456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(apsekotājs un tā rekvizīti – fiziskās personas vārds, uzvārds, sertifikāta Nr. vai juridiskās personas nosaukums, reģistrācijas Nr., būvkomersanta reģistrācijas apliecības Nr., juridiskā adrese, tālruņa numurs, elektroniskā pasta adrese)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</w:rPr>
      </w:pPr>
    </w:p>
    <w:p w:rsidR="00B417B6" w:rsidRDefault="008619DF" w:rsidP="008619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Autoc</w:t>
      </w:r>
      <w:r w:rsidRPr="008619DF">
        <w:rPr>
          <w:rFonts w:ascii="Arial" w:hAnsi="Arial" w:cs="Arial"/>
          <w:b/>
        </w:rPr>
        <w:t xml:space="preserve">eļa </w:t>
      </w:r>
      <w:r w:rsidR="0071544C">
        <w:rPr>
          <w:rFonts w:ascii="Arial" w:hAnsi="Arial" w:cs="Arial"/>
          <w:b/>
        </w:rPr>
        <w:t>vizuālās</w:t>
      </w:r>
      <w:r w:rsidRPr="008619DF">
        <w:rPr>
          <w:rFonts w:ascii="Arial" w:hAnsi="Arial" w:cs="Arial"/>
          <w:b/>
        </w:rPr>
        <w:t xml:space="preserve"> apsekošanas atzinums</w:t>
      </w: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8619DF" w:rsidRPr="008619DF" w:rsidRDefault="001F74C3" w:rsidP="00622A5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Priedītes (valsts vietējās nozīmes a/c V237) </w:t>
            </w:r>
            <w:r w:rsidR="00CD5B25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="00622A56">
              <w:rPr>
                <w:rFonts w:ascii="Arial" w:hAnsi="Arial" w:cs="Arial"/>
                <w:sz w:val="20"/>
                <w:szCs w:val="20"/>
              </w:rPr>
              <w:t>Vīciepi</w:t>
            </w:r>
            <w:proofErr w:type="spellEnd"/>
            <w:r w:rsidR="00622A5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(valsts reģionālās nozīmes a/c P22) pašvaldības ceļa pieslēgums autoceļam P22</w:t>
            </w:r>
            <w:r w:rsidR="00111C33">
              <w:rPr>
                <w:rFonts w:ascii="Arial" w:hAnsi="Arial" w:cs="Arial"/>
                <w:sz w:val="20"/>
                <w:szCs w:val="20"/>
              </w:rPr>
              <w:t>,</w:t>
            </w:r>
            <w:r w:rsidR="00445E9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Kārķu</w:t>
            </w:r>
            <w:r w:rsidR="00111C33">
              <w:rPr>
                <w:rFonts w:ascii="Arial" w:hAnsi="Arial" w:cs="Arial"/>
                <w:sz w:val="20"/>
                <w:szCs w:val="20"/>
              </w:rPr>
              <w:t xml:space="preserve"> pag. Valkas. n</w:t>
            </w:r>
            <w:r w:rsidR="00CD5B25">
              <w:rPr>
                <w:rFonts w:ascii="Arial" w:hAnsi="Arial" w:cs="Arial"/>
                <w:sz w:val="20"/>
                <w:szCs w:val="20"/>
              </w:rPr>
              <w:t>ov.</w:t>
            </w:r>
          </w:p>
        </w:tc>
      </w:tr>
      <w:tr w:rsidR="008619DF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8619DF" w:rsidRPr="008619DF" w:rsidRDefault="008E47DE" w:rsidP="008E47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 xml:space="preserve">Autoceļa nosaukums </w:t>
            </w:r>
            <w:r w:rsid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un adrese</w:t>
            </w:r>
          </w:p>
        </w:tc>
      </w:tr>
      <w:tr w:rsidR="00CF3960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CF3960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Valkas novada pašvaldība,</w:t>
            </w:r>
            <w:r w:rsidR="00CA4608">
              <w:rPr>
                <w:rFonts w:ascii="Arial" w:hAnsi="Arial" w:cs="Arial"/>
                <w:sz w:val="20"/>
                <w:szCs w:val="20"/>
              </w:rPr>
              <w:t xml:space="preserve"> reģ. nr.90009114839,</w:t>
            </w:r>
            <w:r>
              <w:rPr>
                <w:rFonts w:ascii="Arial" w:hAnsi="Arial" w:cs="Arial"/>
                <w:sz w:val="20"/>
                <w:szCs w:val="20"/>
              </w:rPr>
              <w:t xml:space="preserve"> Semināru iela 9, Valka, Valkas novads, LV-4701</w:t>
            </w:r>
          </w:p>
        </w:tc>
      </w:tr>
      <w:tr w:rsidR="00CF3960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CF3960" w:rsidRPr="008619DF" w:rsidRDefault="00CF3960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Pasūtītājs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  <w:b/>
        </w:rPr>
      </w:pP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  <w:r w:rsidRPr="009158AE">
        <w:rPr>
          <w:rFonts w:ascii="Arial" w:hAnsi="Arial" w:cs="Arial"/>
          <w:sz w:val="20"/>
          <w:szCs w:val="20"/>
        </w:rPr>
        <w:t>Atzinums izsniegts</w:t>
      </w:r>
      <w:r>
        <w:rPr>
          <w:rFonts w:ascii="Arial" w:hAnsi="Arial" w:cs="Arial"/>
          <w:sz w:val="20"/>
          <w:szCs w:val="20"/>
        </w:rPr>
        <w:t xml:space="preserve"> 2016. gada 12. janvārī</w:t>
      </w:r>
    </w:p>
    <w:p w:rsidR="00111C33" w:rsidRDefault="00111C33" w:rsidP="00111C33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</w:p>
    <w:p w:rsidR="009158AE" w:rsidRP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 w:rsidRPr="009158AE">
        <w:rPr>
          <w:rFonts w:ascii="Arial" w:hAnsi="Arial" w:cs="Arial"/>
          <w:b/>
          <w:sz w:val="20"/>
          <w:szCs w:val="20"/>
        </w:rPr>
        <w:t>Vispārīgas ziņas par būvi</w:t>
      </w:r>
    </w:p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2552"/>
        <w:gridCol w:w="6379"/>
      </w:tblGrid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nozīme</w:t>
            </w:r>
          </w:p>
        </w:tc>
        <w:tc>
          <w:tcPr>
            <w:tcW w:w="6379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Pašvaldības autoceļš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nosaukums</w:t>
            </w:r>
          </w:p>
        </w:tc>
        <w:tc>
          <w:tcPr>
            <w:tcW w:w="6379" w:type="dxa"/>
            <w:vAlign w:val="center"/>
          </w:tcPr>
          <w:p w:rsidR="00340B97" w:rsidRPr="00D4568F" w:rsidRDefault="001F74C3" w:rsidP="00622A56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F74C3">
              <w:rPr>
                <w:rFonts w:ascii="Arial" w:hAnsi="Arial" w:cs="Arial"/>
                <w:sz w:val="18"/>
                <w:szCs w:val="18"/>
              </w:rPr>
              <w:t xml:space="preserve">Priedītes (valsts vietējās nozīmes a/c V237) – </w:t>
            </w:r>
            <w:proofErr w:type="spellStart"/>
            <w:r w:rsidR="00622A56">
              <w:rPr>
                <w:rFonts w:ascii="Arial" w:hAnsi="Arial" w:cs="Arial"/>
                <w:sz w:val="18"/>
                <w:szCs w:val="18"/>
              </w:rPr>
              <w:t>Vīciepi</w:t>
            </w:r>
            <w:proofErr w:type="spellEnd"/>
            <w:r w:rsidRPr="001F74C3">
              <w:rPr>
                <w:rFonts w:ascii="Arial" w:hAnsi="Arial" w:cs="Arial"/>
                <w:sz w:val="18"/>
                <w:szCs w:val="18"/>
              </w:rPr>
              <w:t xml:space="preserve"> (valsts reģionālās nozīmes a/c P22</w:t>
            </w:r>
            <w:r>
              <w:rPr>
                <w:rFonts w:ascii="Arial" w:hAnsi="Arial" w:cs="Arial"/>
                <w:sz w:val="18"/>
                <w:szCs w:val="18"/>
              </w:rPr>
              <w:t xml:space="preserve">). Apsekots pašvaldības ceļa piesēgums ceļam </w:t>
            </w:r>
            <w:r w:rsidR="00445E96">
              <w:rPr>
                <w:rFonts w:ascii="Arial" w:hAnsi="Arial" w:cs="Arial"/>
                <w:sz w:val="18"/>
                <w:szCs w:val="18"/>
              </w:rPr>
              <w:t>P22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D37ABD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Būves kadastra apzīmējums</w:t>
            </w:r>
          </w:p>
        </w:tc>
        <w:tc>
          <w:tcPr>
            <w:tcW w:w="6379" w:type="dxa"/>
            <w:vAlign w:val="center"/>
          </w:tcPr>
          <w:p w:rsidR="00340B97" w:rsidRPr="00D4568F" w:rsidRDefault="00D37ABD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9452 010 0076 001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D37ABD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Autoceļa, kā būves īpašnieks</w:t>
            </w:r>
          </w:p>
        </w:tc>
        <w:tc>
          <w:tcPr>
            <w:tcW w:w="6379" w:type="dxa"/>
            <w:vAlign w:val="center"/>
          </w:tcPr>
          <w:p w:rsidR="00340B97" w:rsidRPr="00D4568F" w:rsidRDefault="00D37ABD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Valkas novada pašvaldība</w:t>
            </w:r>
            <w:bookmarkStart w:id="0" w:name="_GoBack"/>
            <w:bookmarkEnd w:id="0"/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kategorija</w:t>
            </w:r>
          </w:p>
        </w:tc>
        <w:tc>
          <w:tcPr>
            <w:tcW w:w="6379" w:type="dxa"/>
            <w:vAlign w:val="center"/>
          </w:tcPr>
          <w:p w:rsidR="00067952" w:rsidRDefault="00DF5D94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067952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(atbilstoši LVS 190-</w:t>
            </w:r>
            <w:r w:rsidR="00067952">
              <w:rPr>
                <w:rFonts w:ascii="Arial" w:hAnsi="Arial" w:cs="Arial"/>
                <w:sz w:val="18"/>
                <w:szCs w:val="18"/>
              </w:rPr>
              <w:t>1)</w:t>
            </w:r>
          </w:p>
          <w:p w:rsidR="00340B97" w:rsidRPr="00D4568F" w:rsidRDefault="00067952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 kategorija (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atbilstoši </w:t>
            </w:r>
            <w:r>
              <w:rPr>
                <w:rFonts w:ascii="Arial" w:hAnsi="Arial" w:cs="Arial"/>
                <w:sz w:val="18"/>
                <w:szCs w:val="18"/>
              </w:rPr>
              <w:t>“Teritorijas izmantošanas un apbūves noteikumiem”)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galvenā</w:t>
            </w:r>
            <w:r w:rsidRPr="00D4568F">
              <w:rPr>
                <w:rFonts w:ascii="Arial" w:hAnsi="Arial" w:cs="Arial"/>
                <w:sz w:val="18"/>
                <w:szCs w:val="18"/>
              </w:rPr>
              <w:t xml:space="preserve"> funkcija</w:t>
            </w:r>
          </w:p>
        </w:tc>
        <w:tc>
          <w:tcPr>
            <w:tcW w:w="6379" w:type="dxa"/>
            <w:vAlign w:val="center"/>
          </w:tcPr>
          <w:p w:rsidR="00340B97" w:rsidRPr="00D4568F" w:rsidRDefault="00067952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Savienošanas un p</w:t>
            </w:r>
            <w:r w:rsidR="008A69D1">
              <w:rPr>
                <w:rFonts w:ascii="Arial" w:hAnsi="Arial" w:cs="Arial"/>
                <w:sz w:val="18"/>
                <w:szCs w:val="18"/>
              </w:rPr>
              <w:t>iekļūšanas</w:t>
            </w:r>
          </w:p>
        </w:tc>
      </w:tr>
      <w:tr w:rsidR="008A69D1" w:rsidTr="00345941">
        <w:tc>
          <w:tcPr>
            <w:tcW w:w="567" w:type="dxa"/>
            <w:vAlign w:val="center"/>
          </w:tcPr>
          <w:p w:rsidR="008A69D1" w:rsidRPr="00D4568F" w:rsidRDefault="008A69D1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A69D1" w:rsidRPr="00D4568F" w:rsidRDefault="008A69D1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Apsekotā posma garums</w:t>
            </w:r>
          </w:p>
        </w:tc>
        <w:tc>
          <w:tcPr>
            <w:tcW w:w="6379" w:type="dxa"/>
            <w:vAlign w:val="center"/>
          </w:tcPr>
          <w:p w:rsidR="008A69D1" w:rsidRPr="00D4568F" w:rsidRDefault="00455E5C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</w:t>
            </w:r>
            <w:r w:rsidR="00111C33">
              <w:rPr>
                <w:rFonts w:ascii="Arial" w:hAnsi="Arial" w:cs="Arial"/>
                <w:sz w:val="18"/>
                <w:szCs w:val="18"/>
              </w:rPr>
              <w:t>km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Satiksmes intensitāte</w:t>
            </w:r>
          </w:p>
        </w:tc>
        <w:tc>
          <w:tcPr>
            <w:tcW w:w="6379" w:type="dxa"/>
            <w:vAlign w:val="center"/>
          </w:tcPr>
          <w:p w:rsidR="00340B97" w:rsidRPr="00D4568F" w:rsidRDefault="00345941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trl./dnn.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111C33" w:rsidRDefault="00111C33" w:rsidP="00390329">
      <w:pPr>
        <w:pStyle w:val="ListParagraph"/>
        <w:numPr>
          <w:ilvl w:val="0"/>
          <w:numId w:val="1"/>
        </w:numPr>
        <w:spacing w:after="0"/>
        <w:ind w:left="0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Pārskata plāns</w:t>
      </w:r>
    </w:p>
    <w:p w:rsidR="00D66D4C" w:rsidRDefault="00D66D4C" w:rsidP="00390329">
      <w:pPr>
        <w:jc w:val="center"/>
        <w:rPr>
          <w:rFonts w:ascii="Arial" w:hAnsi="Arial" w:cs="Arial"/>
          <w:b/>
          <w:sz w:val="20"/>
          <w:szCs w:val="20"/>
        </w:rPr>
      </w:pPr>
    </w:p>
    <w:p w:rsidR="00390329" w:rsidRDefault="00D66D4C" w:rsidP="0039032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lv-LV"/>
        </w:rPr>
        <w:drawing>
          <wp:inline distT="0" distB="0" distL="0" distR="0" wp14:anchorId="38250B77" wp14:editId="25FC3EDE">
            <wp:extent cx="4872858" cy="410527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2858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8AE" w:rsidRDefault="00D4568F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Autoceļa tehniskā stāvokļa novērtējums</w:t>
      </w:r>
    </w:p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468" w:type="dxa"/>
        <w:tblInd w:w="-5" w:type="dxa"/>
        <w:tblLook w:val="04A0" w:firstRow="1" w:lastRow="0" w:firstColumn="1" w:lastColumn="0" w:noHBand="0" w:noVBand="1"/>
      </w:tblPr>
      <w:tblGrid>
        <w:gridCol w:w="567"/>
        <w:gridCol w:w="3545"/>
        <w:gridCol w:w="4252"/>
        <w:gridCol w:w="1104"/>
      </w:tblGrid>
      <w:tr w:rsidR="00D4568F" w:rsidTr="00C67C9E">
        <w:tc>
          <w:tcPr>
            <w:tcW w:w="567" w:type="dxa"/>
          </w:tcPr>
          <w:p w:rsidR="00D4568F" w:rsidRDefault="00D4568F" w:rsidP="00D4568F">
            <w:pPr>
              <w:pStyle w:val="ListParagraph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2"/>
          </w:tcPr>
          <w:p w:rsidR="00D4568F" w:rsidRDefault="00D4568F" w:rsidP="00D4568F">
            <w:pPr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1104" w:type="dxa"/>
          </w:tcPr>
          <w:p w:rsidR="00D4568F" w:rsidRPr="00D4568F" w:rsidRDefault="00D4568F" w:rsidP="00D4568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Tehniskais nolietojums</w:t>
            </w:r>
          </w:p>
          <w:p w:rsidR="00D4568F" w:rsidRDefault="00D4568F" w:rsidP="00D45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(%)</w:t>
            </w:r>
          </w:p>
        </w:tc>
      </w:tr>
      <w:tr w:rsidR="00D4568F" w:rsidTr="00345941">
        <w:tc>
          <w:tcPr>
            <w:tcW w:w="567" w:type="dxa"/>
            <w:vAlign w:val="center"/>
          </w:tcPr>
          <w:p w:rsidR="00D4568F" w:rsidRPr="00C67C9E" w:rsidRDefault="00D4568F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D4568F" w:rsidRPr="00D4568F" w:rsidRDefault="00D4568F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 seg</w:t>
            </w:r>
            <w:r w:rsidR="008059FE">
              <w:rPr>
                <w:rFonts w:ascii="Arial" w:hAnsi="Arial" w:cs="Arial"/>
                <w:sz w:val="18"/>
                <w:szCs w:val="18"/>
              </w:rPr>
              <w:t>ums</w:t>
            </w:r>
            <w:r w:rsidR="00C67C9E">
              <w:rPr>
                <w:rFonts w:ascii="Arial" w:hAnsi="Arial" w:cs="Arial"/>
                <w:sz w:val="18"/>
                <w:szCs w:val="18"/>
              </w:rPr>
              <w:t>, zemes klātne</w:t>
            </w:r>
          </w:p>
        </w:tc>
        <w:tc>
          <w:tcPr>
            <w:tcW w:w="4252" w:type="dxa"/>
            <w:vAlign w:val="center"/>
          </w:tcPr>
          <w:p w:rsidR="00D4568F" w:rsidRPr="00D4568F" w:rsidRDefault="00255F6A" w:rsidP="00445E96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brauktuves platums svārstās robežās no </w:t>
            </w:r>
            <w:r w:rsidR="00445E96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-6m. Ceļa segums – grants/šķembu maisījums</w:t>
            </w:r>
            <w:r w:rsidR="00445E96">
              <w:rPr>
                <w:rFonts w:ascii="Arial" w:hAnsi="Arial" w:cs="Arial"/>
                <w:sz w:val="18"/>
                <w:szCs w:val="18"/>
              </w:rPr>
              <w:t>, pieslēguma zonā asfaltbetons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45E96">
              <w:rPr>
                <w:rFonts w:ascii="Arial" w:hAnsi="Arial" w:cs="Arial"/>
                <w:sz w:val="18"/>
                <w:szCs w:val="18"/>
              </w:rPr>
              <w:t xml:space="preserve"> Grants/šķembu seguma </w:t>
            </w:r>
            <w:r w:rsidR="00C21F98">
              <w:rPr>
                <w:rFonts w:ascii="Arial" w:hAnsi="Arial" w:cs="Arial"/>
                <w:sz w:val="18"/>
                <w:szCs w:val="18"/>
              </w:rPr>
              <w:t>posm</w:t>
            </w:r>
            <w:r w:rsidR="00445E96">
              <w:rPr>
                <w:rFonts w:ascii="Arial" w:hAnsi="Arial" w:cs="Arial"/>
                <w:sz w:val="18"/>
                <w:szCs w:val="18"/>
              </w:rPr>
              <w:t>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segum</w:t>
            </w:r>
            <w:r w:rsidR="00445E96">
              <w:rPr>
                <w:rFonts w:ascii="Arial" w:hAnsi="Arial" w:cs="Arial"/>
                <w:sz w:val="18"/>
                <w:szCs w:val="18"/>
              </w:rPr>
              <w:t>am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novērojami nelīdzenumi</w:t>
            </w:r>
            <w:r>
              <w:rPr>
                <w:rFonts w:ascii="Arial" w:hAnsi="Arial" w:cs="Arial"/>
                <w:sz w:val="18"/>
                <w:szCs w:val="18"/>
              </w:rPr>
              <w:t xml:space="preserve">. Ceļa seguma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uzturēšanas </w:t>
            </w:r>
            <w:r>
              <w:rPr>
                <w:rFonts w:ascii="Arial" w:hAnsi="Arial" w:cs="Arial"/>
                <w:sz w:val="18"/>
                <w:szCs w:val="18"/>
              </w:rPr>
              <w:t>rezultātā,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laika gaitā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malās ir </w:t>
            </w:r>
            <w:r>
              <w:rPr>
                <w:rFonts w:ascii="Arial" w:hAnsi="Arial" w:cs="Arial"/>
                <w:sz w:val="18"/>
                <w:szCs w:val="18"/>
              </w:rPr>
              <w:t>izveidojies – apauguma valnis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, kas </w:t>
            </w:r>
            <w:r>
              <w:rPr>
                <w:rFonts w:ascii="Arial" w:hAnsi="Arial" w:cs="Arial"/>
                <w:sz w:val="18"/>
                <w:szCs w:val="18"/>
              </w:rPr>
              <w:t>traucē ūdens novadi no ceļa virsmas, tādejādi radot peļķes uz brauktuves, kas laika gaitā infiltr</w:t>
            </w:r>
            <w:r w:rsidR="008A69D1">
              <w:rPr>
                <w:rFonts w:ascii="Arial" w:hAnsi="Arial" w:cs="Arial"/>
                <w:sz w:val="18"/>
                <w:szCs w:val="18"/>
              </w:rPr>
              <w:t>ējas seguma materiālā, samazinot ceļ</w:t>
            </w:r>
            <w:r w:rsidR="00C21F98">
              <w:rPr>
                <w:rFonts w:ascii="Arial" w:hAnsi="Arial" w:cs="Arial"/>
                <w:sz w:val="18"/>
                <w:szCs w:val="18"/>
              </w:rPr>
              <w:t>a segas konstrukcijas nestspēju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 w:rsidR="00445E96">
              <w:rPr>
                <w:rFonts w:ascii="Arial" w:hAnsi="Arial" w:cs="Arial"/>
                <w:sz w:val="18"/>
                <w:szCs w:val="18"/>
              </w:rPr>
              <w:t xml:space="preserve"> Pieslēguma zonā </w:t>
            </w:r>
            <w:r w:rsidR="00C21F98">
              <w:rPr>
                <w:rFonts w:ascii="Arial" w:hAnsi="Arial" w:cs="Arial"/>
                <w:sz w:val="18"/>
                <w:szCs w:val="18"/>
              </w:rPr>
              <w:t>krūmi samazina sānu redzamību.</w:t>
            </w:r>
            <w:r w:rsidR="00445E96">
              <w:rPr>
                <w:rFonts w:ascii="Arial" w:hAnsi="Arial" w:cs="Arial"/>
                <w:sz w:val="18"/>
                <w:szCs w:val="18"/>
              </w:rPr>
              <w:t xml:space="preserve"> Ceļa garenkritums pieslēguma zonā ir ievērojams, līdz ar to ziemas periodā, tas rada problēmas uzbraukt uz valsts reģionālā autoceļa.</w:t>
            </w:r>
          </w:p>
        </w:tc>
        <w:tc>
          <w:tcPr>
            <w:tcW w:w="1104" w:type="dxa"/>
            <w:vAlign w:val="center"/>
          </w:tcPr>
          <w:p w:rsidR="00D4568F" w:rsidRPr="00D4568F" w:rsidRDefault="00445E96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8059FE" w:rsidTr="00345941"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C21F98" w:rsidP="00C21F9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Lietus ū</w:t>
            </w:r>
            <w:r w:rsidR="008059FE">
              <w:rPr>
                <w:rFonts w:ascii="Arial" w:hAnsi="Arial" w:cs="Arial"/>
                <w:sz w:val="18"/>
                <w:szCs w:val="18"/>
              </w:rPr>
              <w:t>dens atvades sistēma</w:t>
            </w:r>
          </w:p>
        </w:tc>
        <w:tc>
          <w:tcPr>
            <w:tcW w:w="4252" w:type="dxa"/>
            <w:vAlign w:val="center"/>
          </w:tcPr>
          <w:p w:rsidR="008059FE" w:rsidRPr="00D4568F" w:rsidRDefault="00FE0BE3" w:rsidP="00445E96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Esošie ceļa grāvji ir</w:t>
            </w:r>
            <w:r w:rsidR="009D189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aizauguši</w:t>
            </w:r>
            <w:r w:rsidR="00445E96">
              <w:rPr>
                <w:rFonts w:ascii="Arial" w:hAnsi="Arial" w:cs="Arial"/>
                <w:sz w:val="18"/>
                <w:szCs w:val="18"/>
              </w:rPr>
              <w:t xml:space="preserve"> ar krūmiem, kas ierobežo to funkcionēšana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104" w:type="dxa"/>
            <w:vAlign w:val="center"/>
          </w:tcPr>
          <w:p w:rsidR="008059FE" w:rsidRPr="00D4568F" w:rsidRDefault="00345941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8059FE" w:rsidTr="00345941"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8059FE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Satiksmes organizācijas tehniskie līdzekļi</w:t>
            </w:r>
          </w:p>
        </w:tc>
        <w:tc>
          <w:tcPr>
            <w:tcW w:w="4252" w:type="dxa"/>
            <w:vAlign w:val="center"/>
          </w:tcPr>
          <w:p w:rsidR="008059FE" w:rsidRPr="00D4568F" w:rsidRDefault="00345941" w:rsidP="009520DB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Satiksmes organizācijas līdzekļu apjoms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un izvietojams </w:t>
            </w:r>
            <w:r>
              <w:rPr>
                <w:rFonts w:ascii="Arial" w:hAnsi="Arial" w:cs="Arial"/>
                <w:sz w:val="18"/>
                <w:szCs w:val="18"/>
              </w:rPr>
              <w:t xml:space="preserve">uzskatāms par </w:t>
            </w:r>
            <w:r w:rsidR="004E5867">
              <w:rPr>
                <w:rFonts w:ascii="Arial" w:hAnsi="Arial" w:cs="Arial"/>
                <w:sz w:val="18"/>
                <w:szCs w:val="18"/>
              </w:rPr>
              <w:t>optimālu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45E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:rsidR="008059FE" w:rsidRPr="00D4568F" w:rsidRDefault="00345941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</w:tbl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Kopsavilkums</w:t>
      </w:r>
    </w:p>
    <w:p w:rsidR="00D4568F" w:rsidRPr="009158AE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931"/>
      </w:tblGrid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345941" w:rsidRPr="004E5867" w:rsidRDefault="009158AE" w:rsidP="00445E96">
            <w:pPr>
              <w:pStyle w:val="ListParagraph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 xml:space="preserve">Autoceļa </w:t>
            </w:r>
            <w:r w:rsidR="004E5867">
              <w:rPr>
                <w:rFonts w:ascii="Arial" w:hAnsi="Arial" w:cs="Arial"/>
                <w:b/>
                <w:sz w:val="18"/>
                <w:szCs w:val="18"/>
              </w:rPr>
              <w:t xml:space="preserve">posma </w:t>
            </w:r>
            <w:r w:rsidRPr="004E5867">
              <w:rPr>
                <w:rFonts w:ascii="Arial" w:hAnsi="Arial" w:cs="Arial"/>
                <w:b/>
                <w:sz w:val="18"/>
                <w:szCs w:val="18"/>
              </w:rPr>
              <w:t>tehniskais nolietojums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445E96"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9158AE" w:rsidRPr="004E5867" w:rsidRDefault="009158AE" w:rsidP="004E5867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>Secinājumi un ieteikumi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45941" w:rsidRDefault="00345941" w:rsidP="004D5B6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Apsekotā autoceļa </w:t>
            </w:r>
            <w:r w:rsidR="00C21F98">
              <w:rPr>
                <w:rFonts w:ascii="Arial" w:hAnsi="Arial" w:cs="Arial"/>
                <w:sz w:val="18"/>
                <w:szCs w:val="18"/>
              </w:rPr>
              <w:t>posmam ir nepieciešams veikt pārbūvi.</w:t>
            </w:r>
          </w:p>
          <w:p w:rsidR="008A69D1" w:rsidRPr="00D4568F" w:rsidRDefault="004E5867" w:rsidP="007973F3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Lokālās vietās o</w:t>
            </w:r>
            <w:r w:rsidR="008A69D1">
              <w:rPr>
                <w:rFonts w:ascii="Arial" w:hAnsi="Arial" w:cs="Arial"/>
                <w:sz w:val="18"/>
                <w:szCs w:val="18"/>
              </w:rPr>
              <w:t>bligāti veicama ceļa nodalījuma joslā augošo krūmu izciršana, tādejādi palielinot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 ceļa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redzamības </w:t>
            </w:r>
            <w:r>
              <w:rPr>
                <w:rFonts w:ascii="Arial" w:hAnsi="Arial" w:cs="Arial"/>
                <w:sz w:val="18"/>
                <w:szCs w:val="18"/>
              </w:rPr>
              <w:t>parametrus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0DB">
              <w:rPr>
                <w:rFonts w:ascii="Arial" w:hAnsi="Arial" w:cs="Arial"/>
                <w:sz w:val="18"/>
                <w:szCs w:val="18"/>
              </w:rPr>
              <w:t xml:space="preserve">50-70m garā posmā veikt ceļa </w:t>
            </w:r>
            <w:r w:rsidR="007973F3">
              <w:rPr>
                <w:rFonts w:ascii="Arial" w:hAnsi="Arial" w:cs="Arial"/>
                <w:sz w:val="18"/>
                <w:szCs w:val="18"/>
              </w:rPr>
              <w:t>uzbēruma palielināšanu (aptuveni par 1.5 – 2m), lai nodrošinātu mazāku garenkritumu pieslēguma zonā, tādejādi nodrošinot drošāku uzbraukšanu uz valsts reģionālā autoceļa P22</w:t>
            </w:r>
            <w:r w:rsidR="004D5B6E">
              <w:rPr>
                <w:rFonts w:ascii="Arial" w:hAnsi="Arial" w:cs="Arial"/>
                <w:sz w:val="18"/>
                <w:szCs w:val="18"/>
              </w:rPr>
              <w:t>.</w:t>
            </w:r>
            <w:r w:rsidR="007973F3">
              <w:rPr>
                <w:rFonts w:ascii="Arial" w:hAnsi="Arial" w:cs="Arial"/>
                <w:sz w:val="18"/>
                <w:szCs w:val="18"/>
              </w:rPr>
              <w:t xml:space="preserve"> Grants ceļa posmā n</w:t>
            </w:r>
            <w:r w:rsidR="00DF5D94">
              <w:rPr>
                <w:rFonts w:ascii="Arial" w:hAnsi="Arial" w:cs="Arial"/>
                <w:sz w:val="18"/>
                <w:szCs w:val="18"/>
              </w:rPr>
              <w:t>epieciešams veikt nesaistītu minerālmateriālu maisījuma 0/32s seguma izbūvi ar 3% lielu šķērskritumu. Izbūvējamā seguma biezums min 20cm.</w:t>
            </w:r>
            <w:r w:rsidR="007973F3">
              <w:rPr>
                <w:rFonts w:ascii="Arial" w:hAnsi="Arial" w:cs="Arial"/>
                <w:sz w:val="18"/>
                <w:szCs w:val="18"/>
              </w:rPr>
              <w:t xml:space="preserve"> Pieslēguma zonā pie autoceļa P22 izbūvējama asfaltbetona seguma nobrauktuve.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p w:rsidR="009158AE" w:rsidRDefault="0071544C" w:rsidP="009158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Vizuālā</w:t>
      </w:r>
      <w:r w:rsidR="009158AE">
        <w:rPr>
          <w:rFonts w:ascii="Arial" w:hAnsi="Arial" w:cs="Arial"/>
          <w:sz w:val="20"/>
          <w:szCs w:val="20"/>
        </w:rPr>
        <w:t xml:space="preserve"> apsekošana veikta 2015. gada </w:t>
      </w:r>
      <w:r w:rsidR="00CD5B25">
        <w:rPr>
          <w:rFonts w:ascii="Arial" w:hAnsi="Arial" w:cs="Arial"/>
          <w:sz w:val="20"/>
          <w:szCs w:val="20"/>
        </w:rPr>
        <w:t>17</w:t>
      </w:r>
      <w:r w:rsidR="009158AE">
        <w:rPr>
          <w:rFonts w:ascii="Arial" w:hAnsi="Arial" w:cs="Arial"/>
          <w:sz w:val="20"/>
          <w:szCs w:val="20"/>
        </w:rPr>
        <w:t xml:space="preserve">. </w:t>
      </w:r>
      <w:r w:rsidR="00BB5CBE">
        <w:rPr>
          <w:rFonts w:ascii="Arial" w:hAnsi="Arial" w:cs="Arial"/>
          <w:sz w:val="20"/>
          <w:szCs w:val="20"/>
        </w:rPr>
        <w:t>decembrī</w:t>
      </w: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Jānis Štekels, sert. nr.3-00568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Izpildītāja paraksts, vārds uzvārds, sertifikāta numurs</w:t>
            </w:r>
          </w:p>
        </w:tc>
      </w:tr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Valdes loceklis Jānis Štekels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Juridiskās personas vadītāja vārds, uzvārds un paraksts</w:t>
            </w:r>
          </w:p>
        </w:tc>
      </w:tr>
    </w:tbl>
    <w:p w:rsidR="009158AE" w:rsidRPr="009158AE" w:rsidRDefault="009158AE" w:rsidP="009158AE">
      <w:pPr>
        <w:rPr>
          <w:rFonts w:ascii="Arial" w:hAnsi="Arial" w:cs="Arial"/>
          <w:sz w:val="20"/>
          <w:szCs w:val="20"/>
        </w:rPr>
      </w:pPr>
    </w:p>
    <w:sectPr w:rsidR="009158AE" w:rsidRPr="009158AE" w:rsidSect="00390329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1F57"/>
    <w:multiLevelType w:val="multilevel"/>
    <w:tmpl w:val="0426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584D4E9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7864E0"/>
    <w:multiLevelType w:val="hybridMultilevel"/>
    <w:tmpl w:val="4EBA99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85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C1C3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DF"/>
    <w:rsid w:val="00067952"/>
    <w:rsid w:val="00111C33"/>
    <w:rsid w:val="001F74C3"/>
    <w:rsid w:val="00255F6A"/>
    <w:rsid w:val="00340B97"/>
    <w:rsid w:val="00345941"/>
    <w:rsid w:val="00390329"/>
    <w:rsid w:val="00445E96"/>
    <w:rsid w:val="00455E5C"/>
    <w:rsid w:val="004D5B6E"/>
    <w:rsid w:val="004E5867"/>
    <w:rsid w:val="00584028"/>
    <w:rsid w:val="005B3622"/>
    <w:rsid w:val="005C275E"/>
    <w:rsid w:val="005D7CE7"/>
    <w:rsid w:val="005F256E"/>
    <w:rsid w:val="00622A56"/>
    <w:rsid w:val="0071544C"/>
    <w:rsid w:val="007973F3"/>
    <w:rsid w:val="008059FE"/>
    <w:rsid w:val="00850C39"/>
    <w:rsid w:val="008619DF"/>
    <w:rsid w:val="008A69D1"/>
    <w:rsid w:val="008E47DE"/>
    <w:rsid w:val="009158AE"/>
    <w:rsid w:val="009520DB"/>
    <w:rsid w:val="00987326"/>
    <w:rsid w:val="009D1892"/>
    <w:rsid w:val="00B417B6"/>
    <w:rsid w:val="00BB5CBE"/>
    <w:rsid w:val="00C21F98"/>
    <w:rsid w:val="00C67C9E"/>
    <w:rsid w:val="00CA4608"/>
    <w:rsid w:val="00CD5B25"/>
    <w:rsid w:val="00CF3960"/>
    <w:rsid w:val="00D37ABD"/>
    <w:rsid w:val="00D4568F"/>
    <w:rsid w:val="00D66D4C"/>
    <w:rsid w:val="00DB425A"/>
    <w:rsid w:val="00DF5D94"/>
    <w:rsid w:val="00F279C6"/>
    <w:rsid w:val="00F7117C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822545-C885-4DC8-83A6-B8F82893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5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3</cp:revision>
  <cp:lastPrinted>2016-01-12T20:09:00Z</cp:lastPrinted>
  <dcterms:created xsi:type="dcterms:W3CDTF">2016-01-22T11:23:00Z</dcterms:created>
  <dcterms:modified xsi:type="dcterms:W3CDTF">2016-01-28T12:42:00Z</dcterms:modified>
</cp:coreProperties>
</file>