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0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0"/>
        <w:gridCol w:w="2835"/>
      </w:tblGrid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3B23B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 xml:space="preserve">Modelis </w:t>
            </w:r>
            <w:r w:rsidR="00A26460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lv-LV"/>
              </w:rPr>
              <w:t>50</w:t>
            </w:r>
            <w:r w:rsidRPr="004B10D8">
              <w:rPr>
                <w:rFonts w:ascii="Arial" w:hAnsi="Arial" w:cs="Arial"/>
                <w:b/>
                <w:noProof/>
                <w:color w:val="000000"/>
                <w:sz w:val="20"/>
                <w:szCs w:val="20"/>
                <w:lang w:val="lv-LV"/>
              </w:rPr>
              <w:t>W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Pieprasīts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Funkcionalitāte</w:t>
            </w:r>
            <w:bookmarkStart w:id="0" w:name="_GoBack"/>
            <w:bookmarkEnd w:id="0"/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Sistēmas nomināla (bez dimēšanas) gaismas plūsma, ±2.5%: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5F6A35">
              <w:rPr>
                <w:rFonts w:ascii="Arial" w:hAnsi="Arial" w:cs="Arial"/>
                <w:sz w:val="20"/>
                <w:szCs w:val="20"/>
                <w:lang w:val="lv-LV" w:eastAsia="lv-LV"/>
              </w:rPr>
              <w:t xml:space="preserve">4908 </w:t>
            </w:r>
            <w:r w:rsidRPr="002C2B1C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 Lm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plūsmas temperatūra, °K: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No 3000 līdz 4000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Default"/>
              <w:rPr>
                <w:rFonts w:ascii="Arial" w:hAnsi="Arial" w:cs="Arial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 xml:space="preserve">Gaismekļa barošanas bloks nodrošina gaismas intensitātes maiņu saskaņā ar 1-10V vai DALI protokoliem, ar programmēšanas iespēju: 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Jā </w:t>
            </w:r>
          </w:p>
        </w:tc>
      </w:tr>
      <w:tr w:rsidR="00EE7F3F" w:rsidRPr="005C0777" w:rsidTr="00DF38EA">
        <w:trPr>
          <w:cantSplit/>
        </w:trPr>
        <w:tc>
          <w:tcPr>
            <w:tcW w:w="5260" w:type="dxa"/>
          </w:tcPr>
          <w:p w:rsidR="00EE7F3F" w:rsidRPr="004B10D8" w:rsidRDefault="00EE7F3F" w:rsidP="00B623D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izplatības izvēles iespējas atbilstoši LVS EN 13032-1</w:t>
            </w:r>
            <w:r w:rsidRPr="003B23B1">
              <w:rPr>
                <w:rFonts w:ascii="Arial" w:hAnsi="Arial" w:cs="Arial"/>
                <w:sz w:val="20"/>
                <w:szCs w:val="20"/>
                <w:lang w:val="lv-LV"/>
              </w:rPr>
              <w:t>, ne sliktāk, kā projektā paredzēts:</w:t>
            </w:r>
          </w:p>
        </w:tc>
        <w:tc>
          <w:tcPr>
            <w:tcW w:w="2835" w:type="dxa"/>
          </w:tcPr>
          <w:p w:rsidR="00EE7F3F" w:rsidRPr="004B10D8" w:rsidRDefault="00EE7F3F" w:rsidP="003B23B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Jā, pretendentam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ir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nepieciešams sagatavot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ielu apgaismojuma aprēķin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us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konkrētām profila shēmām</w:t>
            </w:r>
            <w:r w:rsidR="003B23B1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pēc parauga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Žilbināšanas klase,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G4</w:t>
            </w:r>
          </w:p>
        </w:tc>
      </w:tr>
      <w:tr w:rsidR="00EE7F3F" w:rsidRPr="005C0777" w:rsidTr="00F86439">
        <w:trPr>
          <w:cantSplit/>
          <w:trHeight w:val="637"/>
        </w:trPr>
        <w:tc>
          <w:tcPr>
            <w:tcW w:w="5260" w:type="dxa"/>
          </w:tcPr>
          <w:p w:rsidR="00EE7F3F" w:rsidRDefault="00EE7F3F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Energoekonomijas iespējas funkcija, ne mazāk ka:</w:t>
            </w:r>
          </w:p>
        </w:tc>
        <w:tc>
          <w:tcPr>
            <w:tcW w:w="2835" w:type="dxa"/>
          </w:tcPr>
          <w:p w:rsidR="00EE7F3F" w:rsidRPr="003A4629" w:rsidRDefault="00EE7F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Automātiskā gaismas plūsmas samazināšanas (dimēšana) līdz 50% ar soli ne lielāku kā 1%  un ne mazāk kā 5-m laika intervāliem ar soli ne lielāku ka 15 minūtes</w:t>
            </w:r>
          </w:p>
        </w:tc>
      </w:tr>
      <w:tr w:rsidR="00EE7F3F" w:rsidRPr="003A4629" w:rsidTr="00230F3C">
        <w:trPr>
          <w:cantSplit/>
          <w:trHeight w:val="637"/>
        </w:trPr>
        <w:tc>
          <w:tcPr>
            <w:tcW w:w="5260" w:type="dxa"/>
          </w:tcPr>
          <w:p w:rsidR="00EE7F3F" w:rsidRDefault="00EE7F3F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Automātiskās dimēšanas sinhronizācija</w:t>
            </w:r>
          </w:p>
        </w:tc>
        <w:tc>
          <w:tcPr>
            <w:tcW w:w="2835" w:type="dxa"/>
          </w:tcPr>
          <w:p w:rsidR="00EE7F3F" w:rsidRPr="003A4629" w:rsidRDefault="00EE7F3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elektriskās barošanas padevi</w:t>
            </w:r>
          </w:p>
        </w:tc>
      </w:tr>
      <w:tr w:rsidR="00EE7F3F" w:rsidRPr="003A4629" w:rsidTr="00230F3C">
        <w:trPr>
          <w:cantSplit/>
          <w:trHeight w:val="637"/>
        </w:trPr>
        <w:tc>
          <w:tcPr>
            <w:tcW w:w="5260" w:type="dxa"/>
          </w:tcPr>
          <w:p w:rsidR="00EE7F3F" w:rsidRDefault="00EE7F3F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Gaismas plūsmas dimēšanas līmeņu un laika intervālu uzstādīšanas iespējas, ne mazāk kā:</w:t>
            </w:r>
          </w:p>
        </w:tc>
        <w:tc>
          <w:tcPr>
            <w:tcW w:w="2835" w:type="dxa"/>
          </w:tcPr>
          <w:p w:rsidR="00EE7F3F" w:rsidRPr="003A4629" w:rsidRDefault="00EE7F3F" w:rsidP="007E364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Rūpnīcā pēc pasūtītāja uzdevuma</w:t>
            </w:r>
          </w:p>
          <w:p w:rsidR="00EE7F3F" w:rsidRPr="003A4629" w:rsidRDefault="00EE7F3F" w:rsidP="007E364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Uz vietas</w:t>
            </w:r>
          </w:p>
        </w:tc>
      </w:tr>
      <w:tr w:rsidR="00EE7F3F" w:rsidRPr="003A4629" w:rsidTr="00DF38EA">
        <w:trPr>
          <w:cantSplit/>
          <w:trHeight w:val="637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Konstrukcija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tips: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LED (gaismas diodes)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korpusa izpildījums: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Liets alumīnijs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aizsardzības klase (hermētisms), visiem gaismekļa nodalījumiem, ne sliktāka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IP66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nodalījuma vai paša gaismas avota aizsardzības klase no citiem gaismekļa iekšējiem blokiem, ne sliktāka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IP6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6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Elektroniska barošanas avota nodalījuma vai paša elektroniska barošanas avota aizsardzības klase no citiem gaismekļa iekšējiem blokiem, ne sliktāka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IP66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Gaismekļa pret vandālisma klase pēc </w:t>
            </w:r>
            <w:r w:rsidRPr="003A4629">
              <w:rPr>
                <w:rFonts w:ascii="Arial" w:hAnsi="Arial" w:cs="Arial"/>
                <w:sz w:val="20"/>
                <w:szCs w:val="20"/>
                <w:lang w:val="lv-LV"/>
              </w:rPr>
              <w:t>EN 50102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, ne sliktāka kā:</w:t>
            </w:r>
          </w:p>
        </w:tc>
        <w:tc>
          <w:tcPr>
            <w:tcW w:w="2835" w:type="dxa"/>
          </w:tcPr>
          <w:p w:rsidR="00EE7F3F" w:rsidRPr="00D86271" w:rsidRDefault="00EE7F3F" w:rsidP="00D862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 w:rsidRPr="003A4629">
              <w:rPr>
                <w:rFonts w:ascii="Arial" w:hAnsi="Arial" w:cs="Arial"/>
                <w:noProof/>
                <w:sz w:val="20"/>
                <w:szCs w:val="20"/>
                <w:lang w:val="lv-LV"/>
              </w:rPr>
              <w:t>IK10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svars (kg), ne lielāks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11</w:t>
            </w:r>
          </w:p>
        </w:tc>
      </w:tr>
      <w:tr w:rsidR="00EE7F3F" w:rsidRPr="005C0777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saderība ar balsta gala diametru,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Uz sāna konsoles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sym w:font="Symbol" w:char="F0C6"/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 40÷62mm, ar uzstādīšanas leņķa regulēšanas iespēju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0/±9</w:t>
            </w: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0°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;</w:t>
            </w:r>
          </w:p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Tieši uz masta 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sym w:font="Symbol" w:char="F0C6"/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 76 mm ar uzstādīšanas leņķa regulēšanas iespēju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0/9</w:t>
            </w:r>
            <w:r w:rsidRPr="004B10D8">
              <w:rPr>
                <w:rFonts w:ascii="Arial" w:hAnsi="Arial" w:cs="Arial"/>
                <w:noProof/>
                <w:color w:val="000000"/>
                <w:sz w:val="20"/>
                <w:szCs w:val="20"/>
                <w:lang w:val="lv-LV"/>
              </w:rPr>
              <w:t>0°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.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stiprināšanas veids,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nerūsējoša tērauda skrūvēm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lastRenderedPageBreak/>
              <w:t xml:space="preserve">Gaismekļa aerodinamiskais koeficients </w:t>
            </w:r>
            <w:proofErr w:type="spellStart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CxS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, m2, ne lielāks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~0.1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Brīva vieta papildus kontroliekārtu uzstādīšanai: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  <w:trHeight w:val="642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Elektriskie parametri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Barošanas darba sprieguma diapazons, nominālais: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22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 ÷ 240V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Elektroizolācijas drošības klase pēc </w:t>
            </w:r>
            <w:r w:rsidRPr="003A4629">
              <w:rPr>
                <w:rFonts w:ascii="Arial" w:hAnsi="Arial" w:cs="Arial"/>
                <w:sz w:val="20"/>
                <w:szCs w:val="20"/>
              </w:rPr>
              <w:t xml:space="preserve">EN-60598, ne </w:t>
            </w:r>
            <w:proofErr w:type="spellStart"/>
            <w:r w:rsidRPr="003A4629">
              <w:rPr>
                <w:rFonts w:ascii="Arial" w:hAnsi="Arial" w:cs="Arial"/>
                <w:sz w:val="20"/>
                <w:szCs w:val="20"/>
              </w:rPr>
              <w:t>mazāk</w:t>
            </w:r>
            <w:proofErr w:type="spellEnd"/>
            <w:r w:rsidRPr="003A462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A4629">
              <w:rPr>
                <w:rFonts w:ascii="Arial" w:hAnsi="Arial" w:cs="Arial"/>
                <w:sz w:val="20"/>
                <w:szCs w:val="20"/>
              </w:rPr>
              <w:t>kā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 (pirmā)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Izturība pret pārspriegumu,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Maksimālais spriegums N/L - 2kV; Maksimālais spriegums P/(N/L) 4kV.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Nomināla elektriska patērējama jauda ar nominālo gaismas plūsmu, ne vairāk kā:</w:t>
            </w:r>
          </w:p>
        </w:tc>
        <w:tc>
          <w:tcPr>
            <w:tcW w:w="2835" w:type="dxa"/>
          </w:tcPr>
          <w:p w:rsidR="00EE7F3F" w:rsidRPr="004B10D8" w:rsidRDefault="00A26460" w:rsidP="007E364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5F6A35">
              <w:rPr>
                <w:rFonts w:ascii="Arial" w:hAnsi="Arial" w:cs="Arial"/>
                <w:noProof/>
                <w:sz w:val="20"/>
                <w:szCs w:val="20"/>
                <w:lang w:val="lv-LV"/>
              </w:rPr>
              <w:t>50</w:t>
            </w:r>
            <w:r w:rsidR="00EE7F3F" w:rsidRPr="005F6A35">
              <w:rPr>
                <w:rFonts w:ascii="Arial" w:hAnsi="Arial" w:cs="Arial"/>
                <w:sz w:val="20"/>
                <w:szCs w:val="20"/>
                <w:lang w:val="lv-LV"/>
              </w:rPr>
              <w:t xml:space="preserve"> </w:t>
            </w:r>
            <w:r w:rsidR="00EE7F3F"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W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barošanas bloka lietderības koeficients, ne mazāk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~0,92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Jaudas faktors (</w:t>
            </w:r>
            <w:proofErr w:type="spellStart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Cosφ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), ne mazāk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~0,95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Patērējams jaudas svārstības bez dimēšanas, ne vairāk kā: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4B10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±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4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%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Gaismekļa nominālās gaismas plūsmas samazināšanās kalpošanas laikā, ne lielāka par: 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0%</w:t>
            </w:r>
          </w:p>
        </w:tc>
      </w:tr>
      <w:tr w:rsidR="00EE7F3F" w:rsidRPr="003A4629" w:rsidTr="00DF38EA">
        <w:trPr>
          <w:cantSplit/>
          <w:trHeight w:val="440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Ekspluatācijas parametri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kalpošanas laiks, stundas ne mazāk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50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 000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Bojāto gaismekļu skaits kalpošanas laikā, (%) ne vairāk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5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Pieeja pie gaismas avota bez instrumenta pielietojuma: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Pieeja pie gaismekļa iekšējiem blokiem bez instrumenta pielietojuma: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  <w:trHeight w:val="689"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Iespēja apmainīt gaismas avotu uz vietas, nenoņemot gaismekli no masta: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Gaismas avota automātiska aizsardzība no pārkaršanas: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gaismas avota patērējamās jaudas samazināšanos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Darba temperatūru diapazons: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Bez gaismas plūsmas samazināšanas: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-20°C ÷ +25°C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Ar gaismas plūsmas samazināšanas ne vairāk kā 30%: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-35°C ÷ +35°C</w:t>
            </w:r>
          </w:p>
        </w:tc>
      </w:tr>
      <w:tr w:rsidR="00EE7F3F" w:rsidRPr="003A4629" w:rsidTr="00DF38EA">
        <w:trPr>
          <w:cantSplit/>
          <w:trHeight w:val="496"/>
        </w:trPr>
        <w:tc>
          <w:tcPr>
            <w:tcW w:w="5260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Vides aizsardzība</w:t>
            </w:r>
          </w:p>
        </w:tc>
        <w:tc>
          <w:tcPr>
            <w:tcW w:w="2835" w:type="dxa"/>
            <w:vAlign w:val="bottom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5C0777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Pārstrādes un utilizācijas iespējas, ne  sliktāk ka: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Gaismeklis ir izgatavots izmantojot tehnoloģijas un materiālus, kas nodrošina 100% gaismekļa pārstrādi pēc kalpošanas termiņa beigām 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Aizsardzība no piesārņojuma ar gaismu,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0 </w:t>
            </w:r>
            <w:proofErr w:type="spellStart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kandelas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 gaismas izstarojums vīrs 90° no apgaismojamas virsmas piesārņojuma ar gaismu samazināšanai;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Atbilst ROHS prasībām: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proofErr w:type="spellStart"/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Pappildus</w:t>
            </w:r>
            <w:proofErr w:type="spellEnd"/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 xml:space="preserve"> prasības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4B10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lastRenderedPageBreak/>
              <w:t>Ražotāja apstiprināts g</w:t>
            </w: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 xml:space="preserve">aismekļu garantijas laiks: 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>
              <w:rPr>
                <w:rFonts w:ascii="Arial" w:hAnsi="Arial" w:cs="Arial"/>
                <w:sz w:val="20"/>
                <w:szCs w:val="20"/>
                <w:lang w:val="lv-LV"/>
              </w:rPr>
              <w:t>10</w:t>
            </w: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 xml:space="preserve"> gadi, ne mazāk 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Pieteikumam apgaismojuma rezultātu pārbaudei CD vai zibatmiņas formātā pievienoti konkrētā piedāvātā gaismas ķermeņa artikula fotometrijas faili (.</w:t>
            </w:r>
            <w:proofErr w:type="spellStart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ldt</w:t>
            </w:r>
            <w:proofErr w:type="spellEnd"/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; .ies) un parametru lapas: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Iespēja pēc pasūtītāja pieprasījuma piegādāt paraugu funkcionālai pārbaudei 5 dienu laikā: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b/>
                <w:color w:val="000000"/>
                <w:sz w:val="20"/>
                <w:szCs w:val="20"/>
                <w:lang w:val="lv-LV"/>
              </w:rPr>
              <w:t>Kvalitāte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5C0777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Rūpnīca ir sertificēta atbilstoši standartiem, ne mazāk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kvalitātes vadības sistēma ISO9001;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vides aizsardzības sistēma ISO14001;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Gaismekļa atbilstība standartiem, ne sliktāk kā: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  <w:t>jā</w:t>
            </w: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60598-1: Luminaires, general requirements and tests;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60598-2-3: Particular requirements, luminaires for Road &amp; Street Lighting;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IEC EN 62031 (only for LED): LED modules for general lighting, safety specifications;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55015: Limits &amp; methods of measurement of radio disturbance characteristics of electrical lighting and similar equipment;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·EN 61547: Equipment for general lighting purposes, immunity requirements;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61000-3-2: Limits for Harmonic emissions (&lt;16A per phase);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61000-3-3: Limitation of voltage fluctuation and flicker in Low-voltage supply systems for equipment with rated current ≤ 16A;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61347-1: General &amp; Safety requirements for the driver;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61347-2-13 (only for LED): Particular requirements for DC or AC supplied electronic driver for LED modules;</w:t>
            </w:r>
          </w:p>
        </w:tc>
        <w:tc>
          <w:tcPr>
            <w:tcW w:w="2835" w:type="dxa"/>
          </w:tcPr>
          <w:p w:rsidR="00EE7F3F" w:rsidRPr="004B10D8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  <w:tr w:rsidR="00EE7F3F" w:rsidRPr="003A4629" w:rsidTr="00DF38EA">
        <w:trPr>
          <w:cantSplit/>
        </w:trPr>
        <w:tc>
          <w:tcPr>
            <w:tcW w:w="5260" w:type="dxa"/>
          </w:tcPr>
          <w:p w:rsidR="00EE7F3F" w:rsidRPr="004B10D8" w:rsidRDefault="00EE7F3F" w:rsidP="00DF38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B10D8">
              <w:rPr>
                <w:rFonts w:ascii="Arial" w:hAnsi="Arial" w:cs="Arial"/>
                <w:color w:val="000000"/>
                <w:sz w:val="20"/>
                <w:szCs w:val="20"/>
              </w:rPr>
              <w:t>EN 62471: Photo biological safety of Lamps and lamp systems;</w:t>
            </w:r>
          </w:p>
        </w:tc>
        <w:tc>
          <w:tcPr>
            <w:tcW w:w="2835" w:type="dxa"/>
          </w:tcPr>
          <w:p w:rsidR="00EE7F3F" w:rsidRPr="002C2B1C" w:rsidRDefault="00EE7F3F" w:rsidP="00DF3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lv-LV"/>
              </w:rPr>
            </w:pPr>
          </w:p>
        </w:tc>
      </w:tr>
    </w:tbl>
    <w:p w:rsidR="00EE7F3F" w:rsidRDefault="00EE7F3F"/>
    <w:sectPr w:rsidR="00EE7F3F" w:rsidSect="00AB5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276E"/>
    <w:multiLevelType w:val="hybridMultilevel"/>
    <w:tmpl w:val="E5FECEC2"/>
    <w:lvl w:ilvl="0" w:tplc="0409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1">
    <w:nsid w:val="4BA77E99"/>
    <w:multiLevelType w:val="hybridMultilevel"/>
    <w:tmpl w:val="26A4E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D8"/>
    <w:rsid w:val="001E061C"/>
    <w:rsid w:val="00230F3C"/>
    <w:rsid w:val="00275670"/>
    <w:rsid w:val="002C2B1C"/>
    <w:rsid w:val="0032571C"/>
    <w:rsid w:val="003A4629"/>
    <w:rsid w:val="003B23B1"/>
    <w:rsid w:val="004B10D8"/>
    <w:rsid w:val="005C0777"/>
    <w:rsid w:val="005C7763"/>
    <w:rsid w:val="005F6A35"/>
    <w:rsid w:val="007E364C"/>
    <w:rsid w:val="00A26460"/>
    <w:rsid w:val="00AB5902"/>
    <w:rsid w:val="00B623D3"/>
    <w:rsid w:val="00C82C50"/>
    <w:rsid w:val="00D40E93"/>
    <w:rsid w:val="00D86271"/>
    <w:rsid w:val="00D95D3C"/>
    <w:rsid w:val="00DF38EA"/>
    <w:rsid w:val="00E3119F"/>
    <w:rsid w:val="00EC7E8D"/>
    <w:rsid w:val="00EE5E47"/>
    <w:rsid w:val="00EE7F3F"/>
    <w:rsid w:val="00F8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D8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B10D8"/>
    <w:pPr>
      <w:ind w:left="720"/>
      <w:contextualSpacing/>
    </w:pPr>
  </w:style>
  <w:style w:type="paragraph" w:customStyle="1" w:styleId="Default">
    <w:name w:val="Default"/>
    <w:uiPriority w:val="99"/>
    <w:rsid w:val="004B10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3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1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D8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B10D8"/>
    <w:pPr>
      <w:ind w:left="720"/>
      <w:contextualSpacing/>
    </w:pPr>
  </w:style>
  <w:style w:type="paragraph" w:customStyle="1" w:styleId="Default">
    <w:name w:val="Default"/>
    <w:uiPriority w:val="99"/>
    <w:rsid w:val="004B10D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31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11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Modelis 72W</vt:lpstr>
    </vt:vector>
  </TitlesOfParts>
  <Company>Latvenergo</Company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Modelis 72W</dc:title>
  <dc:creator>PP</dc:creator>
  <cp:lastModifiedBy>MS</cp:lastModifiedBy>
  <cp:revision>3</cp:revision>
  <cp:lastPrinted>2013-06-11T17:26:00Z</cp:lastPrinted>
  <dcterms:created xsi:type="dcterms:W3CDTF">2013-10-20T15:59:00Z</dcterms:created>
  <dcterms:modified xsi:type="dcterms:W3CDTF">2013-10-21T20:39:00Z</dcterms:modified>
</cp:coreProperties>
</file>